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F3082" w:rsidRDefault="00B676A5">
      <w:r>
        <w:rPr>
          <w:b/>
          <w:sz w:val="28"/>
        </w:rPr>
        <w:t>Anticipation Guide</w:t>
      </w:r>
    </w:p>
    <w:p w:rsidR="00DF3082" w:rsidRDefault="00DF3082"/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0"/>
        <w:gridCol w:w="5790"/>
        <w:gridCol w:w="1740"/>
      </w:tblGrid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b/>
                <w:u w:val="single"/>
              </w:rPr>
              <w:t>BEFORE</w:t>
            </w:r>
          </w:p>
          <w:p w:rsidR="00DF3082" w:rsidRDefault="00B676A5">
            <w:pPr>
              <w:widowControl w:val="0"/>
              <w:spacing w:line="240" w:lineRule="auto"/>
            </w:pPr>
            <w:r>
              <w:rPr>
                <w:b/>
              </w:rPr>
              <w:t>Agree/</w:t>
            </w:r>
          </w:p>
          <w:p w:rsidR="00DF3082" w:rsidRDefault="00B676A5">
            <w:pPr>
              <w:widowControl w:val="0"/>
              <w:spacing w:line="240" w:lineRule="auto"/>
            </w:pPr>
            <w:r>
              <w:rPr>
                <w:b/>
              </w:rPr>
              <w:t>Disagree?</w:t>
            </w: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b/>
                <w:u w:val="single"/>
              </w:rPr>
              <w:t>AFTER</w:t>
            </w:r>
          </w:p>
          <w:p w:rsidR="00DF3082" w:rsidRDefault="00B676A5">
            <w:pPr>
              <w:widowControl w:val="0"/>
              <w:spacing w:line="240" w:lineRule="auto"/>
            </w:pPr>
            <w:r>
              <w:rPr>
                <w:b/>
              </w:rPr>
              <w:t>Agree/</w:t>
            </w:r>
          </w:p>
          <w:p w:rsidR="00DF3082" w:rsidRDefault="00B676A5">
            <w:pPr>
              <w:widowControl w:val="0"/>
              <w:spacing w:line="240" w:lineRule="auto"/>
            </w:pPr>
            <w:r>
              <w:rPr>
                <w:b/>
              </w:rPr>
              <w:t>Disagree?</w:t>
            </w: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One focus of PIIC is with the use of evidence-based literacy strategies.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Coaching sessions should be mandatory for some teachers.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Incorporating literacy strategies improves academic performance in all subjects.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Coaches can share information about a BDA session with an administrator upon request.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A coach's role can include co-teaching.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The main role of coaches is to work one-</w:t>
            </w:r>
            <w:r>
              <w:rPr>
                <w:sz w:val="20"/>
              </w:rPr>
              <w:t>on-one with teacher following the BDA model.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Coaches have to go to PLN, but PLN is not just for coaches.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A PIIC coach is a valuable resource to administrators.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The role of the coach should be clearly defined.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All PIIC coaches must have time in their schedule dedicated for coaching.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Coaches work with your school's data team to incorporate strategies to improve learning.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Coaches are expert "fix-its" for all subjects and situations.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DF3082" w:rsidRDefault="00B676A5">
            <w:pPr>
              <w:widowControl w:val="0"/>
              <w:spacing w:line="240" w:lineRule="auto"/>
            </w:pPr>
            <w:r>
              <w:rPr>
                <w:sz w:val="20"/>
              </w:rPr>
              <w:t>Coaching is confidential, collaborative, and non-evaluative.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  <w:tr w:rsidR="00DF3082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57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3082" w:rsidRDefault="00DF3082">
            <w:pPr>
              <w:widowControl w:val="0"/>
              <w:spacing w:line="240" w:lineRule="auto"/>
            </w:pPr>
          </w:p>
        </w:tc>
      </w:tr>
    </w:tbl>
    <w:p w:rsidR="00DF3082" w:rsidRDefault="00DF3082"/>
    <w:p w:rsidR="00DF3082" w:rsidRDefault="00DF3082"/>
    <w:p w:rsidR="00DF3082" w:rsidRDefault="00B676A5">
      <w:r>
        <w:rPr>
          <w:b/>
          <w:u w:val="single"/>
        </w:rPr>
        <w:t>WRITING PROMPT</w:t>
      </w:r>
    </w:p>
    <w:p w:rsidR="00DF3082" w:rsidRDefault="00DF3082"/>
    <w:p w:rsidR="00DF3082" w:rsidRDefault="00B676A5">
      <w:r>
        <w:t>List two misconceptions that you had that are now cleared up.</w:t>
      </w:r>
    </w:p>
    <w:p w:rsidR="00DF3082" w:rsidRDefault="00B676A5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DF308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F3082"/>
    <w:rsid w:val="00B676A5"/>
    <w:rsid w:val="00DF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C215F2-78D1-4227-BED9-4618CA13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>ARIN Intermediate Unit 28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Jeremy Gabborin</cp:lastModifiedBy>
  <cp:revision>2</cp:revision>
  <dcterms:created xsi:type="dcterms:W3CDTF">2015-04-29T13:48:00Z</dcterms:created>
  <dcterms:modified xsi:type="dcterms:W3CDTF">2015-04-29T13:48:00Z</dcterms:modified>
</cp:coreProperties>
</file>